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DFEC" w:themeColor="accent4" w:themeTint="33"/>
  <w:body>
    <w:p w:rsidR="00E231C3" w:rsidRPr="00F2572A" w:rsidRDefault="00B50A49" w:rsidP="00B50A49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F2572A">
        <w:rPr>
          <w:rFonts w:ascii="Times New Roman" w:hAnsi="Times New Roman"/>
          <w:bCs/>
          <w:sz w:val="28"/>
          <w:szCs w:val="28"/>
        </w:rPr>
        <w:t>ПРОЕКТ</w:t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F31F6E"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C7766A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C7766A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4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C7766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Плеховский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д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муниципальн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C776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C776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FA2742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43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C776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C7766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57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C7766A" w:rsidRDefault="00C7766A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4A76C4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4A76C4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A2742" w:rsidRPr="00FA2742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8</w:t>
                  </w:r>
                  <w:r w:rsidR="00FA2742" w:rsidRPr="00FA2742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176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4A76C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4A76C4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1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611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176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4A76C4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C7766A">
                    <w:rPr>
                      <w:rFonts w:ascii="Times New Roman" w:hAnsi="Times New Roman"/>
                      <w:sz w:val="40"/>
                      <w:szCs w:val="40"/>
                    </w:rPr>
                    <w:t>29 00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0,</w:t>
                  </w:r>
                  <w:r w:rsidR="00FA2742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C7766A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Плеховский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846D4D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B50A49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87205B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B50A49" w:rsidP="00B50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B50A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846D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  <w:r w:rsidR="00B50A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50A49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846D4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50A49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846D4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87205B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1 582 176,00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1 075 591,00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1 065 506,00</w:t>
            </w:r>
          </w:p>
        </w:tc>
      </w:tr>
      <w:tr w:rsidR="006E2371" w:rsidRPr="00951249" w:rsidTr="00B50A49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588 836,00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590 668,00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593 634</w:t>
            </w:r>
            <w:r w:rsidR="00207D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FA2742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588 836,00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590 668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593 634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596B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 w:rsidR="00FA27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596B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596B4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50A49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993 340,00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484 923</w:t>
            </w:r>
            <w:r w:rsidR="00207D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471 872</w:t>
            </w:r>
            <w:r w:rsidR="00207D6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858 430</w:t>
            </w:r>
            <w:r w:rsidR="00FA27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336 2</w:t>
            </w:r>
            <w:r w:rsidR="00207D60" w:rsidRP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846D4D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309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105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FA27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207D60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A34C6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</w:t>
            </w:r>
            <w:r w:rsid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</w:tr>
      <w:tr w:rsidR="006E2371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FA2742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274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46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6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07D60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46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6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207D60" w:rsidP="00846D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846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207D6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846D4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767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AC41F7" w:rsidRPr="00951249" w:rsidTr="00B50A4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50A49" w:rsidRDefault="00B50A4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846D4D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 и неналоговые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70C237C" wp14:editId="47BA1866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846D4D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bookmarkStart w:id="1" w:name="_Hlk120706958"/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езвозмездны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bookmarkEnd w:id="1"/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4946DE6A" wp14:editId="3ECF6EC9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AC17A4" w:rsidP="00AC17A4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bookmarkStart w:id="2" w:name="_Hlk120706976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Р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>асход</w:t>
      </w:r>
      <w:r>
        <w:rPr>
          <w:rFonts w:ascii="Times New Roman" w:hAnsi="Times New Roman"/>
          <w:b/>
          <w:spacing w:val="2"/>
          <w:sz w:val="36"/>
          <w:szCs w:val="36"/>
        </w:rPr>
        <w:t>ы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C7766A">
        <w:rPr>
          <w:rFonts w:ascii="Times New Roman" w:hAnsi="Times New Roman"/>
          <w:b/>
          <w:spacing w:val="2"/>
          <w:sz w:val="36"/>
          <w:szCs w:val="36"/>
        </w:rPr>
        <w:t>Плеховский</w:t>
      </w:r>
      <w:proofErr w:type="spellEnd"/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AC17A4" w:rsidP="00AC17A4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>
        <w:rPr>
          <w:rFonts w:ascii="Times New Roman" w:hAnsi="Times New Roman"/>
          <w:b/>
          <w:spacing w:val="2"/>
          <w:sz w:val="36"/>
          <w:szCs w:val="36"/>
        </w:rPr>
        <w:t>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bookmarkEnd w:id="2"/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1F3372EF" wp14:editId="13CCF0A0">
            <wp:extent cx="9767887" cy="4743450"/>
            <wp:effectExtent l="19050" t="0" r="2381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spellStart"/>
      <w:r w:rsidR="00C7766A">
        <w:rPr>
          <w:rFonts w:ascii="Times New Roman" w:hAnsi="Times New Roman"/>
          <w:b/>
          <w:spacing w:val="2"/>
          <w:sz w:val="32"/>
          <w:szCs w:val="32"/>
        </w:rPr>
        <w:t>Плеховский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Суджанского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AC17A4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AC17A4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E052B6" w:rsidRDefault="00E052B6" w:rsidP="00E052B6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A2F6C">
        <w:rPr>
          <w:rFonts w:ascii="Times New Roman" w:hAnsi="Times New Roman"/>
          <w:b/>
          <w:spacing w:val="2"/>
          <w:sz w:val="32"/>
          <w:szCs w:val="32"/>
        </w:rPr>
        <w:t>46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9A5E43" w:rsidRPr="00AE6CA0" w:rsidRDefault="00E052B6" w:rsidP="00AE6CA0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r w:rsidR="003A2F6C">
        <w:rPr>
          <w:rFonts w:ascii="Times New Roman" w:hAnsi="Times New Roman"/>
          <w:b/>
          <w:spacing w:val="2"/>
          <w:sz w:val="32"/>
          <w:szCs w:val="32"/>
        </w:rPr>
        <w:t>Культура и кинематография</w:t>
      </w:r>
      <w:r w:rsidR="00F41FE7"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3A2F6C">
        <w:rPr>
          <w:rFonts w:ascii="Times New Roman" w:hAnsi="Times New Roman"/>
          <w:b/>
          <w:spacing w:val="2"/>
          <w:sz w:val="32"/>
          <w:szCs w:val="32"/>
        </w:rPr>
        <w:t>4</w:t>
      </w:r>
      <w:r w:rsidR="00AC17A4">
        <w:rPr>
          <w:rFonts w:ascii="Times New Roman" w:hAnsi="Times New Roman"/>
          <w:b/>
          <w:spacing w:val="2"/>
          <w:sz w:val="32"/>
          <w:szCs w:val="32"/>
        </w:rPr>
        <w:t>2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C7766A">
        <w:rPr>
          <w:rFonts w:ascii="Times New Roman" w:hAnsi="Times New Roman"/>
          <w:b/>
          <w:color w:val="000000"/>
          <w:spacing w:val="2"/>
          <w:sz w:val="36"/>
          <w:szCs w:val="36"/>
        </w:rPr>
        <w:t>Плеховский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3A2F6C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3A2F6C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3A2F6C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AC17A4">
              <w:rPr>
                <w:rFonts w:ascii="Times New Roman" w:hAnsi="Times New Roman"/>
                <w:sz w:val="28"/>
                <w:szCs w:val="28"/>
              </w:rPr>
              <w:t>4</w:t>
            </w:r>
            <w:r w:rsidR="003A2F6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3A2F6C" w:rsidP="00AC17A4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AC17A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3A2F6C" w:rsidP="00AC17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AC17A4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87205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1 611 176,00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87205B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1 046 591,00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87205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1 065 506,00</w:t>
            </w:r>
          </w:p>
        </w:tc>
      </w:tr>
      <w:tr w:rsidR="00AC17A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17A4" w:rsidRPr="009F06D4" w:rsidRDefault="002D7D0A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AC17A4" w:rsidRPr="009F06D4" w:rsidRDefault="002D7D0A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17A4" w:rsidRDefault="00AC17A4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AC17A4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22 447,00</w:t>
            </w:r>
          </w:p>
        </w:tc>
        <w:tc>
          <w:tcPr>
            <w:tcW w:w="946" w:type="pct"/>
            <w:vAlign w:val="center"/>
          </w:tcPr>
          <w:p w:rsidR="00AC17A4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45 137,00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742 343,00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723 198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10E4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722 863</w:t>
            </w:r>
            <w:r w:rsidR="0050044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134 910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E10E43" w:rsidP="00872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205B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05B">
              <w:rPr>
                <w:rFonts w:ascii="Times New Roman" w:hAnsi="Times New Roman"/>
                <w:sz w:val="28"/>
                <w:szCs w:val="28"/>
              </w:rPr>
              <w:t>721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50044B" w:rsidP="00872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7205B">
              <w:rPr>
                <w:rFonts w:ascii="Times New Roman" w:hAnsi="Times New Roman"/>
                <w:sz w:val="28"/>
                <w:szCs w:val="28"/>
              </w:rPr>
              <w:t>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05B">
              <w:rPr>
                <w:rFonts w:ascii="Times New Roman" w:hAnsi="Times New Roman"/>
                <w:sz w:val="28"/>
                <w:szCs w:val="28"/>
              </w:rPr>
              <w:t>767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C231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872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10E43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938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4 925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10E4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50044B" w:rsidP="00872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87205B">
              <w:rPr>
                <w:rFonts w:ascii="Times New Roman" w:hAnsi="Times New Roman"/>
                <w:sz w:val="28"/>
                <w:szCs w:val="28"/>
              </w:rPr>
              <w:t>925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675 685,00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100 000</w:t>
            </w:r>
            <w:r w:rsidR="00EA3F0C">
              <w:rPr>
                <w:rFonts w:ascii="Times New Roman" w:hAnsi="Times New Roman"/>
                <w:sz w:val="28"/>
                <w:szCs w:val="28"/>
              </w:rPr>
              <w:t>,</w:t>
            </w:r>
            <w:r w:rsidR="00E10E43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946" w:type="pct"/>
            <w:vAlign w:val="center"/>
          </w:tcPr>
          <w:p w:rsidR="009A5E43" w:rsidRPr="000C1F6D" w:rsidRDefault="0087205B" w:rsidP="008720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0044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514</w:t>
            </w:r>
            <w:r w:rsidR="0050044B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10E4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E10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47 300,00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87205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47 300,00</w:t>
            </w:r>
          </w:p>
        </w:tc>
        <w:tc>
          <w:tcPr>
            <w:tcW w:w="946" w:type="pct"/>
            <w:vAlign w:val="center"/>
          </w:tcPr>
          <w:p w:rsidR="009A5E43" w:rsidRPr="000C1F6D" w:rsidRDefault="0087205B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47 300,00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4A76C4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C7766A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Плеховский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программным направлениям деятельности </w:t>
                  </w:r>
                  <w:r w:rsidR="0087205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87205B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87205B">
        <w:trPr>
          <w:trHeight w:val="519"/>
        </w:trPr>
        <w:tc>
          <w:tcPr>
            <w:tcW w:w="9606" w:type="dxa"/>
            <w:vAlign w:val="center"/>
          </w:tcPr>
          <w:p w:rsidR="00EC34BE" w:rsidRPr="00E24945" w:rsidRDefault="00B50A49" w:rsidP="00B50A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EC34BE" w:rsidRPr="00E24945" w:rsidRDefault="00EC34BE" w:rsidP="0087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B50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872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50A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EC34BE" w:rsidRPr="00E24945" w:rsidRDefault="00B50A49" w:rsidP="0087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872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EC34BE" w:rsidRPr="00E24945" w:rsidRDefault="00B50A49" w:rsidP="00872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8720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87205B">
        <w:trPr>
          <w:trHeight w:val="172"/>
        </w:trPr>
        <w:tc>
          <w:tcPr>
            <w:tcW w:w="9606" w:type="dxa"/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87205B">
        <w:trPr>
          <w:trHeight w:val="257"/>
        </w:trPr>
        <w:tc>
          <w:tcPr>
            <w:tcW w:w="9606" w:type="dxa"/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vAlign w:val="bottom"/>
          </w:tcPr>
          <w:p w:rsidR="00EC34BE" w:rsidRPr="00E24945" w:rsidRDefault="0087205B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733 923,00</w:t>
            </w:r>
          </w:p>
        </w:tc>
        <w:tc>
          <w:tcPr>
            <w:tcW w:w="1843" w:type="dxa"/>
          </w:tcPr>
          <w:p w:rsidR="00EC34BE" w:rsidRPr="00E24945" w:rsidRDefault="0087205B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152 225,00</w:t>
            </w:r>
          </w:p>
        </w:tc>
        <w:tc>
          <w:tcPr>
            <w:tcW w:w="1984" w:type="dxa"/>
          </w:tcPr>
          <w:p w:rsidR="008017E1" w:rsidRPr="008017E1" w:rsidRDefault="0087205B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134 739,00</w:t>
            </w:r>
          </w:p>
        </w:tc>
      </w:tr>
      <w:tr w:rsidR="00EC34BE" w:rsidRPr="00E24945" w:rsidTr="0087205B">
        <w:trPr>
          <w:trHeight w:val="834"/>
        </w:trPr>
        <w:tc>
          <w:tcPr>
            <w:tcW w:w="9606" w:type="dxa"/>
            <w:vAlign w:val="bottom"/>
          </w:tcPr>
          <w:p w:rsidR="00EC34BE" w:rsidRPr="0050044B" w:rsidRDefault="0050044B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04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жильём и ко</w:t>
            </w:r>
            <w:r w:rsidRPr="005004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</w:t>
            </w:r>
            <w:r w:rsidRPr="005004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мунальными услугами граждан»</w:t>
            </w:r>
          </w:p>
        </w:tc>
        <w:tc>
          <w:tcPr>
            <w:tcW w:w="1984" w:type="dxa"/>
            <w:vAlign w:val="center"/>
          </w:tcPr>
          <w:p w:rsidR="00EC34BE" w:rsidRPr="00E24945" w:rsidRDefault="0087205B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4 925,00</w:t>
            </w:r>
          </w:p>
        </w:tc>
        <w:tc>
          <w:tcPr>
            <w:tcW w:w="1843" w:type="dxa"/>
            <w:vAlign w:val="center"/>
          </w:tcPr>
          <w:p w:rsidR="00EC34BE" w:rsidRPr="00EC385B" w:rsidRDefault="0087205B" w:rsidP="00873D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4 925,00</w:t>
            </w:r>
          </w:p>
        </w:tc>
        <w:tc>
          <w:tcPr>
            <w:tcW w:w="1984" w:type="dxa"/>
            <w:vAlign w:val="center"/>
          </w:tcPr>
          <w:p w:rsidR="00EC34BE" w:rsidRPr="00E24945" w:rsidRDefault="0087205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4 925,00</w:t>
            </w:r>
          </w:p>
        </w:tc>
      </w:tr>
      <w:tr w:rsidR="00EC34BE" w:rsidRPr="00E24945" w:rsidTr="0087205B">
        <w:trPr>
          <w:trHeight w:val="704"/>
        </w:trPr>
        <w:tc>
          <w:tcPr>
            <w:tcW w:w="9606" w:type="dxa"/>
            <w:vAlign w:val="bottom"/>
          </w:tcPr>
          <w:p w:rsidR="00EC34BE" w:rsidRPr="0050044B" w:rsidRDefault="0050044B" w:rsidP="004B5497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04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1984" w:type="dxa"/>
            <w:vAlign w:val="center"/>
          </w:tcPr>
          <w:p w:rsidR="00EC34BE" w:rsidRPr="00F31E46" w:rsidRDefault="0087205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675 685,00</w:t>
            </w:r>
          </w:p>
        </w:tc>
        <w:tc>
          <w:tcPr>
            <w:tcW w:w="1843" w:type="dxa"/>
            <w:vAlign w:val="center"/>
          </w:tcPr>
          <w:p w:rsidR="00EC34BE" w:rsidRPr="00E24945" w:rsidRDefault="0087205B" w:rsidP="0087205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836D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000</w:t>
            </w:r>
            <w:r w:rsidR="00836D0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vAlign w:val="center"/>
          </w:tcPr>
          <w:p w:rsidR="00EC34BE" w:rsidRPr="00E24945" w:rsidRDefault="00836D0C" w:rsidP="0087205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2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720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514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C34BE" w:rsidRPr="00E24945" w:rsidTr="0087205B">
        <w:trPr>
          <w:trHeight w:val="713"/>
        </w:trPr>
        <w:tc>
          <w:tcPr>
            <w:tcW w:w="9606" w:type="dxa"/>
            <w:vAlign w:val="bottom"/>
          </w:tcPr>
          <w:p w:rsidR="00EC34BE" w:rsidRPr="0050044B" w:rsidRDefault="0050044B" w:rsidP="004B5497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044B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984" w:type="dxa"/>
            <w:vAlign w:val="center"/>
          </w:tcPr>
          <w:p w:rsidR="00EC34BE" w:rsidRPr="00E24945" w:rsidRDefault="0087205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47 300,00</w:t>
            </w:r>
          </w:p>
        </w:tc>
        <w:tc>
          <w:tcPr>
            <w:tcW w:w="1843" w:type="dxa"/>
            <w:vAlign w:val="center"/>
          </w:tcPr>
          <w:p w:rsidR="00EC34BE" w:rsidRPr="00E24945" w:rsidRDefault="0087205B" w:rsidP="00F321C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47 300,00</w:t>
            </w:r>
          </w:p>
        </w:tc>
        <w:tc>
          <w:tcPr>
            <w:tcW w:w="1984" w:type="dxa"/>
            <w:vAlign w:val="center"/>
          </w:tcPr>
          <w:p w:rsidR="00EC34BE" w:rsidRPr="00E24945" w:rsidRDefault="0087205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47 300,00</w:t>
            </w:r>
          </w:p>
        </w:tc>
      </w:tr>
      <w:tr w:rsidR="0087205B" w:rsidRPr="00E24945" w:rsidTr="0087205B">
        <w:trPr>
          <w:trHeight w:val="713"/>
        </w:trPr>
        <w:tc>
          <w:tcPr>
            <w:tcW w:w="9606" w:type="dxa"/>
            <w:vAlign w:val="bottom"/>
          </w:tcPr>
          <w:p w:rsidR="0087205B" w:rsidRPr="0050044B" w:rsidRDefault="0087205B" w:rsidP="004B549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Муниципальная программа «Организация ритуальных услуг на территории мун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ципального образования»</w:t>
            </w:r>
          </w:p>
        </w:tc>
        <w:tc>
          <w:tcPr>
            <w:tcW w:w="1984" w:type="dxa"/>
            <w:vAlign w:val="center"/>
          </w:tcPr>
          <w:p w:rsidR="0087205B" w:rsidRDefault="0087205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6 013,00</w:t>
            </w:r>
          </w:p>
        </w:tc>
        <w:tc>
          <w:tcPr>
            <w:tcW w:w="1843" w:type="dxa"/>
            <w:vAlign w:val="center"/>
          </w:tcPr>
          <w:p w:rsidR="0087205B" w:rsidRDefault="0087205B" w:rsidP="00F321C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vAlign w:val="center"/>
          </w:tcPr>
          <w:p w:rsidR="0087205B" w:rsidRDefault="0087205B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C4" w:rsidRDefault="004A76C4" w:rsidP="000E427B">
      <w:pPr>
        <w:spacing w:after="0" w:line="240" w:lineRule="auto"/>
      </w:pPr>
      <w:r>
        <w:separator/>
      </w:r>
    </w:p>
  </w:endnote>
  <w:endnote w:type="continuationSeparator" w:id="0">
    <w:p w:rsidR="004A76C4" w:rsidRDefault="004A76C4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C4" w:rsidRDefault="004A76C4" w:rsidP="000E427B">
      <w:pPr>
        <w:spacing w:after="0" w:line="240" w:lineRule="auto"/>
      </w:pPr>
      <w:r>
        <w:separator/>
      </w:r>
    </w:p>
  </w:footnote>
  <w:footnote w:type="continuationSeparator" w:id="0">
    <w:p w:rsidR="004A76C4" w:rsidRDefault="004A76C4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E59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07D60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D7D0A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C75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6C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E736A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3FED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76C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44B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8EC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6D0C"/>
    <w:rsid w:val="0084069E"/>
    <w:rsid w:val="00840C21"/>
    <w:rsid w:val="0084283F"/>
    <w:rsid w:val="00843DBA"/>
    <w:rsid w:val="00844EF8"/>
    <w:rsid w:val="00844FFC"/>
    <w:rsid w:val="008469B2"/>
    <w:rsid w:val="00846D4D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05B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2C1B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27AD2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3E6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7A4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0A49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76D70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66A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1666"/>
    <w:rsid w:val="00DF1E8A"/>
    <w:rsid w:val="00DF2611"/>
    <w:rsid w:val="00DF34AD"/>
    <w:rsid w:val="00DF3B89"/>
    <w:rsid w:val="00DF6654"/>
    <w:rsid w:val="00DF6C51"/>
    <w:rsid w:val="00DF7F88"/>
    <w:rsid w:val="00E001D5"/>
    <w:rsid w:val="00E050D0"/>
    <w:rsid w:val="00E052B6"/>
    <w:rsid w:val="00E1002F"/>
    <w:rsid w:val="00E1025D"/>
    <w:rsid w:val="00E10E43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2A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742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доходы физических лиц - 52 272,00 руб.</c:v>
                </c:pt>
                <c:pt idx="1">
                  <c:v>Налог на имущество физических лиц - 69 922,00 руб.</c:v>
                </c:pt>
                <c:pt idx="2">
                  <c:v>Земельный налог - 46 642 руб.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52272</c:v>
                </c:pt>
                <c:pt idx="1">
                  <c:v>69922</c:v>
                </c:pt>
                <c:pt idx="2">
                  <c:v>466642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7E-4FE7-9441-B6D6BCBDAF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- 134 910,00 руб.</c:v>
                </c:pt>
                <c:pt idx="1">
                  <c:v>Дотации - 858 430,00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134910</c:v>
                </c:pt>
                <c:pt idx="1">
                  <c:v>858430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24E-4767-A4CB-746A460CF3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- 742 343,00 руб.</c:v>
                </c:pt>
                <c:pt idx="1">
                  <c:v>Национальная оборона - 134 910,00 руб.</c:v>
                </c:pt>
                <c:pt idx="2">
                  <c:v>Культура и кинематография - 675 685,00 руб.</c:v>
                </c:pt>
                <c:pt idx="3">
                  <c:v>Жилищно-коммунальное хозяйство - 10 398,00 руб. </c:v>
                </c:pt>
                <c:pt idx="4">
                  <c:v>Социальная политика - 47 300,00 руб.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742343</c:v>
                </c:pt>
                <c:pt idx="1">
                  <c:v>134910</c:v>
                </c:pt>
                <c:pt idx="2">
                  <c:v>675685</c:v>
                </c:pt>
                <c:pt idx="3">
                  <c:v>10398</c:v>
                </c:pt>
                <c:pt idx="4">
                  <c:v>47300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642-4517-B5F0-484CF49BBE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1D37-97AA-4B8A-A868-5912D9C5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3456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29</cp:revision>
  <cp:lastPrinted>2019-03-28T11:25:00Z</cp:lastPrinted>
  <dcterms:created xsi:type="dcterms:W3CDTF">2022-02-09T12:53:00Z</dcterms:created>
  <dcterms:modified xsi:type="dcterms:W3CDTF">2024-01-31T11:55:00Z</dcterms:modified>
</cp:coreProperties>
</file>