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F061E3">
        <w:rPr>
          <w:rFonts w:ascii="Times New Roman" w:hAnsi="Times New Roman"/>
          <w:b/>
        </w:rPr>
        <w:t xml:space="preserve"> Плеховского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22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март, апрель </w:t>
            </w:r>
            <w:r w:rsidR="00D27640">
              <w:rPr>
                <w:rFonts w:ascii="Times New Roman" w:eastAsia="Calibri" w:hAnsi="Times New Roman"/>
              </w:rPr>
              <w:t>2022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апрель, май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проведено размещение сведений о доходах, расходах, об имуществе и обязательствах имущественного характера лиц, замещающих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муниципальные должности и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 анализ сведенийо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 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</w:t>
            </w:r>
            <w:r w:rsidRPr="00BC7528">
              <w:rPr>
                <w:rFonts w:ascii="Times New Roman" w:eastAsia="Calibri" w:hAnsi="Times New Roman"/>
              </w:rPr>
              <w:lastRenderedPageBreak/>
              <w:t>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D27640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  <w:r w:rsidR="00BC7528"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 w:rsidR="00D27640">
              <w:rPr>
                <w:rFonts w:ascii="Times New Roman" w:eastAsia="Calibri" w:hAnsi="Times New Roman"/>
              </w:rPr>
              <w:t>2022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061E3" w:rsidRDefault="00CF3C08" w:rsidP="00F061E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061E3">
              <w:rPr>
                <w:rFonts w:ascii="Times New Roman" w:eastAsia="Calibri" w:hAnsi="Times New Roman"/>
              </w:rPr>
              <w:t>Конкурсы н</w:t>
            </w:r>
            <w:r w:rsidR="00F061E3">
              <w:rPr>
                <w:rFonts w:ascii="Times New Roman" w:eastAsia="Calibri" w:hAnsi="Times New Roman"/>
              </w:rPr>
              <w:t>е</w:t>
            </w:r>
            <w:r w:rsidRPr="00F061E3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BC7528" w:rsidRDefault="00F061E3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Плеховского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F061E3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F061E3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F061E3">
              <w:rPr>
                <w:rFonts w:ascii="Times New Roman" w:eastAsia="Calibri" w:hAnsi="Times New Roman"/>
                <w:b/>
              </w:rPr>
              <w:t>Плеховского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lastRenderedPageBreak/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F061E3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F061E3">
              <w:rPr>
                <w:rFonts w:ascii="Times New Roman" w:eastAsia="Calibri" w:hAnsi="Times New Roman"/>
              </w:rPr>
              <w:t>Плеховский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F061E3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F061E3">
        <w:rPr>
          <w:rFonts w:ascii="Times New Roman" w:hAnsi="Times New Roman"/>
          <w:sz w:val="28"/>
          <w:szCs w:val="28"/>
        </w:rPr>
        <w:t>Плеховского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 </w:t>
      </w:r>
      <w:r w:rsidR="00F061E3">
        <w:rPr>
          <w:rFonts w:ascii="Times New Roman" w:hAnsi="Times New Roman"/>
          <w:sz w:val="28"/>
          <w:szCs w:val="28"/>
        </w:rPr>
        <w:t>П.Г. Басов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8B" w:rsidRDefault="00494F8B">
      <w:r>
        <w:separator/>
      </w:r>
    </w:p>
  </w:endnote>
  <w:endnote w:type="continuationSeparator" w:id="1">
    <w:p w:rsidR="00494F8B" w:rsidRDefault="0049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8B" w:rsidRDefault="00494F8B">
      <w:r>
        <w:separator/>
      </w:r>
    </w:p>
  </w:footnote>
  <w:footnote w:type="continuationSeparator" w:id="1">
    <w:p w:rsidR="00494F8B" w:rsidRDefault="00494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94F8B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26D0"/>
    <w:rsid w:val="00EA566F"/>
    <w:rsid w:val="00EC07AD"/>
    <w:rsid w:val="00F061E3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Cer23</cp:lastModifiedBy>
  <cp:revision>2</cp:revision>
  <cp:lastPrinted>2021-12-22T08:28:00Z</cp:lastPrinted>
  <dcterms:created xsi:type="dcterms:W3CDTF">2023-03-30T06:31:00Z</dcterms:created>
  <dcterms:modified xsi:type="dcterms:W3CDTF">2023-03-30T06:31:00Z</dcterms:modified>
</cp:coreProperties>
</file>